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EEF" w:rsidRPr="00F03EEF" w:rsidRDefault="003E1132" w:rsidP="003E1132">
      <w:pPr>
        <w:pStyle w:val="NoSpacing"/>
        <w:jc w:val="right"/>
        <w:rPr>
          <w:b/>
          <w:sz w:val="24"/>
        </w:rPr>
      </w:pPr>
      <w:r w:rsidRPr="00F03EEF">
        <w:rPr>
          <w:b/>
          <w:noProof/>
          <w:sz w:val="24"/>
        </w:rPr>
        <w:drawing>
          <wp:anchor distT="0" distB="0" distL="114300" distR="114300" simplePos="0" relativeHeight="251658240" behindDoc="0" locked="0" layoutInCell="1" allowOverlap="1">
            <wp:simplePos x="0" y="0"/>
            <wp:positionH relativeFrom="column">
              <wp:posOffset>-83820</wp:posOffset>
            </wp:positionH>
            <wp:positionV relativeFrom="paragraph">
              <wp:posOffset>-281940</wp:posOffset>
            </wp:positionV>
            <wp:extent cx="1460724" cy="12801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7970" cy="1295274"/>
                    </a:xfrm>
                    <a:prstGeom prst="rect">
                      <a:avLst/>
                    </a:prstGeom>
                  </pic:spPr>
                </pic:pic>
              </a:graphicData>
            </a:graphic>
            <wp14:sizeRelH relativeFrom="page">
              <wp14:pctWidth>0</wp14:pctWidth>
            </wp14:sizeRelH>
            <wp14:sizeRelV relativeFrom="page">
              <wp14:pctHeight>0</wp14:pctHeight>
            </wp14:sizeRelV>
          </wp:anchor>
        </w:drawing>
      </w:r>
      <w:r w:rsidR="00F03EEF" w:rsidRPr="00F03EEF">
        <w:rPr>
          <w:b/>
          <w:sz w:val="24"/>
        </w:rPr>
        <w:t xml:space="preserve">Yates County </w:t>
      </w:r>
      <w:r w:rsidR="00360345">
        <w:rPr>
          <w:b/>
          <w:sz w:val="24"/>
        </w:rPr>
        <w:t>Office</w:t>
      </w:r>
      <w:r w:rsidR="00F03EEF" w:rsidRPr="00F03EEF">
        <w:rPr>
          <w:b/>
          <w:sz w:val="24"/>
        </w:rPr>
        <w:t xml:space="preserve"> of Civil Service</w:t>
      </w:r>
    </w:p>
    <w:p w:rsidR="00F03EEF" w:rsidRPr="00F03EEF" w:rsidRDefault="00F03EEF" w:rsidP="003E1132">
      <w:pPr>
        <w:pStyle w:val="NoSpacing"/>
        <w:jc w:val="right"/>
        <w:rPr>
          <w:b/>
          <w:sz w:val="24"/>
        </w:rPr>
      </w:pPr>
      <w:r w:rsidRPr="00F03EEF">
        <w:rPr>
          <w:b/>
          <w:sz w:val="24"/>
        </w:rPr>
        <w:t>417 Liberty Street</w:t>
      </w:r>
    </w:p>
    <w:p w:rsidR="00F03EEF" w:rsidRPr="00F03EEF" w:rsidRDefault="00F03EEF" w:rsidP="003E1132">
      <w:pPr>
        <w:pStyle w:val="NoSpacing"/>
        <w:jc w:val="right"/>
        <w:rPr>
          <w:b/>
          <w:sz w:val="24"/>
        </w:rPr>
      </w:pPr>
      <w:r w:rsidRPr="00F03EEF">
        <w:rPr>
          <w:b/>
          <w:sz w:val="24"/>
        </w:rPr>
        <w:t>Penn Yan, NY 14527</w:t>
      </w:r>
    </w:p>
    <w:p w:rsidR="009053F8" w:rsidRPr="00351B2C" w:rsidRDefault="009053F8" w:rsidP="003E1132">
      <w:pPr>
        <w:pStyle w:val="NoSpacing"/>
        <w:jc w:val="right"/>
        <w:rPr>
          <w:b/>
          <w:color w:val="FF0000"/>
          <w:sz w:val="40"/>
        </w:rPr>
      </w:pPr>
      <w:r w:rsidRPr="00351B2C">
        <w:rPr>
          <w:b/>
          <w:color w:val="FF0000"/>
          <w:sz w:val="40"/>
        </w:rPr>
        <w:t>NOTICE OF VACANCY</w:t>
      </w:r>
    </w:p>
    <w:p w:rsidR="003E1132" w:rsidRPr="006D7705" w:rsidRDefault="003E1132" w:rsidP="003E1132">
      <w:pPr>
        <w:pBdr>
          <w:top w:val="single" w:sz="4" w:space="0" w:color="auto"/>
        </w:pBdr>
        <w:rPr>
          <w:sz w:val="4"/>
        </w:rPr>
      </w:pPr>
    </w:p>
    <w:tbl>
      <w:tblPr>
        <w:tblStyle w:val="TableGrid"/>
        <w:tblW w:w="10885" w:type="dxa"/>
        <w:tblLook w:val="04A0" w:firstRow="1" w:lastRow="0" w:firstColumn="1" w:lastColumn="0" w:noHBand="0" w:noVBand="1"/>
      </w:tblPr>
      <w:tblGrid>
        <w:gridCol w:w="2518"/>
        <w:gridCol w:w="2570"/>
        <w:gridCol w:w="2063"/>
        <w:gridCol w:w="3734"/>
      </w:tblGrid>
      <w:tr w:rsidR="00C10574" w:rsidRPr="00F03EEF" w:rsidTr="00343F62">
        <w:trPr>
          <w:trHeight w:val="432"/>
        </w:trPr>
        <w:tc>
          <w:tcPr>
            <w:tcW w:w="10885" w:type="dxa"/>
            <w:gridSpan w:val="4"/>
            <w:shd w:val="clear" w:color="auto" w:fill="D9D9D9" w:themeFill="background1" w:themeFillShade="D9"/>
          </w:tcPr>
          <w:p w:rsidR="000C461B" w:rsidRPr="00351B2C" w:rsidRDefault="00343F62" w:rsidP="00824969">
            <w:pPr>
              <w:jc w:val="center"/>
              <w:rPr>
                <w:b/>
                <w:color w:val="FF0000"/>
                <w:sz w:val="24"/>
              </w:rPr>
            </w:pPr>
            <w:r w:rsidRPr="00351B2C">
              <w:rPr>
                <w:b/>
                <w:color w:val="FF0000"/>
                <w:sz w:val="24"/>
              </w:rPr>
              <w:t>YATES COUNTY ANNOUNCES A</w:t>
            </w:r>
            <w:r w:rsidR="00814F38">
              <w:rPr>
                <w:b/>
                <w:color w:val="FF0000"/>
                <w:sz w:val="24"/>
              </w:rPr>
              <w:t xml:space="preserve"> VACANCY FOR:</w:t>
            </w:r>
          </w:p>
          <w:p w:rsidR="00343F62" w:rsidRPr="00F03EEF" w:rsidRDefault="00343F62" w:rsidP="00A05C4B">
            <w:pPr>
              <w:jc w:val="center"/>
              <w:rPr>
                <w:b/>
                <w:sz w:val="32"/>
              </w:rPr>
            </w:pPr>
            <w:r w:rsidRPr="00351B2C">
              <w:rPr>
                <w:b/>
                <w:color w:val="FF0000"/>
                <w:sz w:val="32"/>
              </w:rPr>
              <w:t xml:space="preserve">PUBLIC HEALTH </w:t>
            </w:r>
            <w:r w:rsidR="00A05C4B">
              <w:rPr>
                <w:b/>
                <w:color w:val="FF0000"/>
                <w:sz w:val="32"/>
              </w:rPr>
              <w:t>EDUCATOR</w:t>
            </w:r>
          </w:p>
        </w:tc>
      </w:tr>
      <w:tr w:rsidR="00195B42" w:rsidTr="00343F62">
        <w:trPr>
          <w:trHeight w:val="432"/>
        </w:trPr>
        <w:tc>
          <w:tcPr>
            <w:tcW w:w="2785" w:type="dxa"/>
            <w:shd w:val="clear" w:color="auto" w:fill="D9D9D9" w:themeFill="background1" w:themeFillShade="D9"/>
          </w:tcPr>
          <w:p w:rsidR="00F03EEF" w:rsidRPr="007D1C13" w:rsidRDefault="0027321C" w:rsidP="00F03EEF">
            <w:pPr>
              <w:rPr>
                <w:b/>
                <w:sz w:val="20"/>
                <w:szCs w:val="20"/>
              </w:rPr>
            </w:pPr>
            <w:r w:rsidRPr="007D1C13">
              <w:rPr>
                <w:b/>
                <w:sz w:val="20"/>
                <w:szCs w:val="20"/>
              </w:rPr>
              <w:t>Type of Appointment/Position Status/Classification:</w:t>
            </w:r>
          </w:p>
        </w:tc>
        <w:tc>
          <w:tcPr>
            <w:tcW w:w="3243" w:type="dxa"/>
          </w:tcPr>
          <w:p w:rsidR="00F03EEF" w:rsidRPr="007D1C13" w:rsidRDefault="007C280F" w:rsidP="00E715CA">
            <w:pPr>
              <w:rPr>
                <w:sz w:val="20"/>
                <w:szCs w:val="20"/>
              </w:rPr>
            </w:pPr>
            <w:r w:rsidRPr="00351B2C">
              <w:rPr>
                <w:color w:val="FF0000"/>
                <w:sz w:val="20"/>
                <w:szCs w:val="20"/>
              </w:rPr>
              <w:t>Permanent</w:t>
            </w:r>
            <w:r w:rsidR="00E715CA">
              <w:rPr>
                <w:color w:val="FF0000"/>
                <w:sz w:val="20"/>
                <w:szCs w:val="20"/>
              </w:rPr>
              <w:t>/Full</w:t>
            </w:r>
            <w:r w:rsidR="0027321C" w:rsidRPr="00351B2C">
              <w:rPr>
                <w:color w:val="FF0000"/>
                <w:sz w:val="20"/>
                <w:szCs w:val="20"/>
              </w:rPr>
              <w:t xml:space="preserve"> Time/</w:t>
            </w:r>
            <w:r w:rsidR="0088457C" w:rsidRPr="00351B2C">
              <w:rPr>
                <w:color w:val="FF0000"/>
                <w:sz w:val="20"/>
                <w:szCs w:val="20"/>
              </w:rPr>
              <w:t xml:space="preserve"> </w:t>
            </w:r>
            <w:r w:rsidR="00E715CA">
              <w:rPr>
                <w:color w:val="FF0000"/>
                <w:sz w:val="20"/>
                <w:szCs w:val="20"/>
              </w:rPr>
              <w:t>Competitive</w:t>
            </w:r>
          </w:p>
        </w:tc>
        <w:tc>
          <w:tcPr>
            <w:tcW w:w="2607" w:type="dxa"/>
            <w:shd w:val="clear" w:color="auto" w:fill="D9D9D9" w:themeFill="background1" w:themeFillShade="D9"/>
          </w:tcPr>
          <w:p w:rsidR="00F03EEF" w:rsidRPr="007D1C13" w:rsidRDefault="00F03EEF" w:rsidP="00824969">
            <w:pPr>
              <w:rPr>
                <w:b/>
                <w:sz w:val="20"/>
                <w:szCs w:val="20"/>
              </w:rPr>
            </w:pPr>
            <w:r w:rsidRPr="007D1C13">
              <w:rPr>
                <w:b/>
                <w:sz w:val="20"/>
                <w:szCs w:val="20"/>
              </w:rPr>
              <w:t>Rate of Pay/Salary:</w:t>
            </w:r>
          </w:p>
        </w:tc>
        <w:tc>
          <w:tcPr>
            <w:tcW w:w="2250" w:type="dxa"/>
          </w:tcPr>
          <w:p w:rsidR="00F03EEF" w:rsidRPr="007D1C13" w:rsidRDefault="009637EB" w:rsidP="0088457C">
            <w:pPr>
              <w:rPr>
                <w:sz w:val="20"/>
                <w:szCs w:val="20"/>
              </w:rPr>
            </w:pPr>
            <w:r>
              <w:rPr>
                <w:sz w:val="20"/>
                <w:szCs w:val="20"/>
              </w:rPr>
              <w:t>$28.96</w:t>
            </w:r>
            <w:bookmarkStart w:id="0" w:name="_GoBack"/>
            <w:bookmarkEnd w:id="0"/>
            <w:r w:rsidR="00814F38">
              <w:rPr>
                <w:sz w:val="20"/>
                <w:szCs w:val="20"/>
              </w:rPr>
              <w:t>/hour</w:t>
            </w:r>
          </w:p>
        </w:tc>
      </w:tr>
      <w:tr w:rsidR="00195B42" w:rsidTr="00343F62">
        <w:trPr>
          <w:trHeight w:val="432"/>
        </w:trPr>
        <w:tc>
          <w:tcPr>
            <w:tcW w:w="2785" w:type="dxa"/>
            <w:shd w:val="clear" w:color="auto" w:fill="D9D9D9" w:themeFill="background1" w:themeFillShade="D9"/>
          </w:tcPr>
          <w:p w:rsidR="00F03EEF" w:rsidRPr="007D1C13" w:rsidRDefault="00F03EEF" w:rsidP="00F03EEF">
            <w:pPr>
              <w:rPr>
                <w:b/>
                <w:sz w:val="20"/>
                <w:szCs w:val="20"/>
              </w:rPr>
            </w:pPr>
            <w:r w:rsidRPr="007D1C13">
              <w:rPr>
                <w:b/>
                <w:sz w:val="20"/>
                <w:szCs w:val="20"/>
              </w:rPr>
              <w:t>Location:</w:t>
            </w:r>
          </w:p>
        </w:tc>
        <w:tc>
          <w:tcPr>
            <w:tcW w:w="3243" w:type="dxa"/>
          </w:tcPr>
          <w:p w:rsidR="00F03EEF" w:rsidRPr="007D1C13" w:rsidRDefault="00814F38" w:rsidP="00F03EEF">
            <w:pPr>
              <w:rPr>
                <w:sz w:val="20"/>
                <w:szCs w:val="20"/>
              </w:rPr>
            </w:pPr>
            <w:r>
              <w:rPr>
                <w:sz w:val="20"/>
                <w:szCs w:val="20"/>
              </w:rPr>
              <w:t>Yates County Public Health</w:t>
            </w:r>
          </w:p>
        </w:tc>
        <w:tc>
          <w:tcPr>
            <w:tcW w:w="2607" w:type="dxa"/>
            <w:shd w:val="clear" w:color="auto" w:fill="D9D9D9" w:themeFill="background1" w:themeFillShade="D9"/>
          </w:tcPr>
          <w:p w:rsidR="00F03EEF" w:rsidRPr="007D1C13" w:rsidRDefault="00F03EEF" w:rsidP="00824969">
            <w:pPr>
              <w:rPr>
                <w:b/>
                <w:sz w:val="20"/>
                <w:szCs w:val="20"/>
              </w:rPr>
            </w:pPr>
            <w:r w:rsidRPr="007D1C13">
              <w:rPr>
                <w:b/>
                <w:sz w:val="20"/>
                <w:szCs w:val="20"/>
              </w:rPr>
              <w:t>Negotiating Unit:</w:t>
            </w:r>
          </w:p>
        </w:tc>
        <w:tc>
          <w:tcPr>
            <w:tcW w:w="2250" w:type="dxa"/>
          </w:tcPr>
          <w:p w:rsidR="00F03EEF" w:rsidRPr="007D1C13" w:rsidRDefault="00E715CA" w:rsidP="00824969">
            <w:pPr>
              <w:rPr>
                <w:sz w:val="20"/>
                <w:szCs w:val="20"/>
              </w:rPr>
            </w:pPr>
            <w:r>
              <w:rPr>
                <w:sz w:val="20"/>
                <w:szCs w:val="20"/>
              </w:rPr>
              <w:t>CSEA</w:t>
            </w:r>
          </w:p>
        </w:tc>
      </w:tr>
      <w:tr w:rsidR="00A05C4B" w:rsidTr="00343F62">
        <w:trPr>
          <w:trHeight w:val="432"/>
        </w:trPr>
        <w:tc>
          <w:tcPr>
            <w:tcW w:w="2785" w:type="dxa"/>
            <w:tcBorders>
              <w:bottom w:val="single" w:sz="4" w:space="0" w:color="auto"/>
            </w:tcBorders>
            <w:shd w:val="clear" w:color="auto" w:fill="D9D9D9" w:themeFill="background1" w:themeFillShade="D9"/>
          </w:tcPr>
          <w:p w:rsidR="00A05C4B" w:rsidRPr="007D1C13" w:rsidRDefault="00A05C4B" w:rsidP="00A05C4B">
            <w:pPr>
              <w:jc w:val="both"/>
              <w:rPr>
                <w:b/>
                <w:sz w:val="20"/>
                <w:szCs w:val="20"/>
              </w:rPr>
            </w:pPr>
            <w:r w:rsidRPr="007D1C13">
              <w:rPr>
                <w:b/>
                <w:sz w:val="20"/>
                <w:szCs w:val="20"/>
              </w:rPr>
              <w:t>Work Hours:</w:t>
            </w:r>
          </w:p>
        </w:tc>
        <w:tc>
          <w:tcPr>
            <w:tcW w:w="3243" w:type="dxa"/>
            <w:tcBorders>
              <w:bottom w:val="single" w:sz="4" w:space="0" w:color="auto"/>
            </w:tcBorders>
          </w:tcPr>
          <w:p w:rsidR="00A05C4B" w:rsidRPr="007D1C13" w:rsidRDefault="00A05C4B" w:rsidP="00A05C4B">
            <w:pPr>
              <w:jc w:val="both"/>
              <w:rPr>
                <w:sz w:val="20"/>
                <w:szCs w:val="20"/>
              </w:rPr>
            </w:pPr>
            <w:r>
              <w:rPr>
                <w:sz w:val="20"/>
                <w:szCs w:val="20"/>
              </w:rPr>
              <w:t>Monday – Friday; 35 per/week</w:t>
            </w:r>
          </w:p>
        </w:tc>
        <w:tc>
          <w:tcPr>
            <w:tcW w:w="2607" w:type="dxa"/>
            <w:tcBorders>
              <w:bottom w:val="single" w:sz="4" w:space="0" w:color="auto"/>
            </w:tcBorders>
            <w:shd w:val="clear" w:color="auto" w:fill="D9D9D9" w:themeFill="background1" w:themeFillShade="D9"/>
          </w:tcPr>
          <w:p w:rsidR="00A05C4B" w:rsidRPr="00A05C4B" w:rsidRDefault="00A05C4B" w:rsidP="00A05C4B">
            <w:pPr>
              <w:rPr>
                <w:b/>
              </w:rPr>
            </w:pPr>
            <w:r w:rsidRPr="00A05C4B">
              <w:rPr>
                <w:b/>
              </w:rPr>
              <w:t>Vacancies:</w:t>
            </w:r>
          </w:p>
        </w:tc>
        <w:tc>
          <w:tcPr>
            <w:tcW w:w="2250" w:type="dxa"/>
            <w:tcBorders>
              <w:bottom w:val="single" w:sz="4" w:space="0" w:color="auto"/>
            </w:tcBorders>
          </w:tcPr>
          <w:p w:rsidR="00A05C4B" w:rsidRDefault="00A05C4B" w:rsidP="00A05C4B">
            <w:r w:rsidRPr="003A2CB9">
              <w:t>1</w:t>
            </w:r>
          </w:p>
        </w:tc>
      </w:tr>
      <w:tr w:rsidR="00A05C4B" w:rsidTr="00343F62">
        <w:trPr>
          <w:trHeight w:val="432"/>
        </w:trPr>
        <w:tc>
          <w:tcPr>
            <w:tcW w:w="2785" w:type="dxa"/>
            <w:tcBorders>
              <w:bottom w:val="single" w:sz="4" w:space="0" w:color="auto"/>
            </w:tcBorders>
            <w:shd w:val="clear" w:color="auto" w:fill="D9D9D9" w:themeFill="background1" w:themeFillShade="D9"/>
          </w:tcPr>
          <w:p w:rsidR="00A05C4B" w:rsidRPr="007D1C13" w:rsidRDefault="00A05C4B" w:rsidP="00A05C4B">
            <w:pPr>
              <w:jc w:val="both"/>
              <w:rPr>
                <w:b/>
                <w:sz w:val="20"/>
                <w:szCs w:val="20"/>
              </w:rPr>
            </w:pPr>
            <w:r w:rsidRPr="007D1C13">
              <w:rPr>
                <w:b/>
                <w:sz w:val="20"/>
                <w:szCs w:val="20"/>
              </w:rPr>
              <w:t>Residency Requirement:</w:t>
            </w:r>
          </w:p>
        </w:tc>
        <w:tc>
          <w:tcPr>
            <w:tcW w:w="3243" w:type="dxa"/>
            <w:tcBorders>
              <w:bottom w:val="single" w:sz="4" w:space="0" w:color="auto"/>
            </w:tcBorders>
          </w:tcPr>
          <w:p w:rsidR="00A05C4B" w:rsidRPr="007D1C13" w:rsidRDefault="00A05C4B" w:rsidP="00A05C4B">
            <w:pPr>
              <w:pStyle w:val="NoSpacing"/>
            </w:pPr>
            <w:r w:rsidRPr="007D1C13">
              <w:rPr>
                <w:sz w:val="20"/>
              </w:rPr>
              <w:t xml:space="preserve">Candidates must </w:t>
            </w:r>
            <w:r>
              <w:rPr>
                <w:sz w:val="20"/>
              </w:rPr>
              <w:t>be</w:t>
            </w:r>
            <w:r w:rsidRPr="007D1C13">
              <w:rPr>
                <w:sz w:val="20"/>
              </w:rPr>
              <w:t xml:space="preserve"> legal residents of Yates, Seneca, Steuben, Schuyler, or Ontario County </w:t>
            </w:r>
            <w:r>
              <w:rPr>
                <w:sz w:val="20"/>
              </w:rPr>
              <w:t xml:space="preserve">30 days </w:t>
            </w:r>
            <w:r w:rsidRPr="007D1C13">
              <w:rPr>
                <w:sz w:val="20"/>
              </w:rPr>
              <w:t xml:space="preserve">prior </w:t>
            </w:r>
            <w:r>
              <w:rPr>
                <w:sz w:val="20"/>
              </w:rPr>
              <w:t>to submitting your application.</w:t>
            </w:r>
          </w:p>
        </w:tc>
        <w:tc>
          <w:tcPr>
            <w:tcW w:w="2607" w:type="dxa"/>
            <w:tcBorders>
              <w:bottom w:val="single" w:sz="4" w:space="0" w:color="auto"/>
            </w:tcBorders>
            <w:shd w:val="clear" w:color="auto" w:fill="D9D9D9" w:themeFill="background1" w:themeFillShade="D9"/>
          </w:tcPr>
          <w:p w:rsidR="00A05C4B" w:rsidRPr="00E57674" w:rsidRDefault="00A05C4B" w:rsidP="00A05C4B">
            <w:pPr>
              <w:rPr>
                <w:b/>
              </w:rPr>
            </w:pPr>
            <w:r>
              <w:rPr>
                <w:b/>
              </w:rPr>
              <w:t>How to apply:</w:t>
            </w:r>
          </w:p>
        </w:tc>
        <w:tc>
          <w:tcPr>
            <w:tcW w:w="2250" w:type="dxa"/>
            <w:tcBorders>
              <w:bottom w:val="single" w:sz="4" w:space="0" w:color="auto"/>
            </w:tcBorders>
          </w:tcPr>
          <w:p w:rsidR="00A05C4B" w:rsidRDefault="00A05C4B" w:rsidP="00A05C4B">
            <w:pPr>
              <w:pStyle w:val="NoSpacing"/>
            </w:pPr>
            <w:r>
              <w:t xml:space="preserve">Online: </w:t>
            </w:r>
            <w:hyperlink r:id="rId7" w:history="1">
              <w:r w:rsidRPr="00E630D4">
                <w:rPr>
                  <w:rStyle w:val="Hyperlink"/>
                </w:rPr>
                <w:t>https://mycivilservice.yatescounty.org/</w:t>
              </w:r>
            </w:hyperlink>
          </w:p>
          <w:p w:rsidR="00A05C4B" w:rsidRDefault="00A05C4B" w:rsidP="00A05C4B">
            <w:pPr>
              <w:pStyle w:val="NoSpacing"/>
            </w:pPr>
            <w:r>
              <w:t xml:space="preserve">Mail: Personnel office </w:t>
            </w:r>
          </w:p>
          <w:p w:rsidR="00A05C4B" w:rsidRDefault="00A05C4B" w:rsidP="00A05C4B">
            <w:pPr>
              <w:pStyle w:val="NoSpacing"/>
            </w:pPr>
            <w:r>
              <w:t xml:space="preserve">          417 Liberty Street</w:t>
            </w:r>
          </w:p>
          <w:p w:rsidR="00A05C4B" w:rsidRDefault="00A05C4B" w:rsidP="00A05C4B">
            <w:pPr>
              <w:pStyle w:val="NoSpacing"/>
            </w:pPr>
            <w:r>
              <w:t xml:space="preserve">          Penn Yan, NY 14527</w:t>
            </w:r>
          </w:p>
          <w:p w:rsidR="00A05C4B" w:rsidRDefault="00A05C4B" w:rsidP="00A05C4B">
            <w:pPr>
              <w:pStyle w:val="NoSpacing"/>
            </w:pPr>
            <w:r>
              <w:t>Fax: 315-536-5118</w:t>
            </w:r>
          </w:p>
          <w:p w:rsidR="00A05C4B" w:rsidRPr="00E57674" w:rsidRDefault="00A05C4B" w:rsidP="00A05C4B">
            <w:pPr>
              <w:pStyle w:val="NoSpacing"/>
            </w:pPr>
            <w:r>
              <w:t>E-mail: personnel@yatescounty.org</w:t>
            </w:r>
          </w:p>
        </w:tc>
      </w:tr>
      <w:tr w:rsidR="00195B42" w:rsidTr="00343F62">
        <w:trPr>
          <w:trHeight w:val="432"/>
        </w:trPr>
        <w:tc>
          <w:tcPr>
            <w:tcW w:w="2785" w:type="dxa"/>
            <w:tcBorders>
              <w:bottom w:val="single" w:sz="4" w:space="0" w:color="auto"/>
            </w:tcBorders>
            <w:shd w:val="clear" w:color="auto" w:fill="D9D9D9" w:themeFill="background1" w:themeFillShade="D9"/>
          </w:tcPr>
          <w:p w:rsidR="00824969" w:rsidRPr="007D1C13" w:rsidRDefault="00824969" w:rsidP="00824969">
            <w:pPr>
              <w:jc w:val="both"/>
              <w:rPr>
                <w:b/>
                <w:sz w:val="20"/>
                <w:szCs w:val="20"/>
              </w:rPr>
            </w:pPr>
            <w:r w:rsidRPr="007D1C13">
              <w:rPr>
                <w:b/>
                <w:sz w:val="20"/>
                <w:szCs w:val="20"/>
              </w:rPr>
              <w:t>Posted:</w:t>
            </w:r>
          </w:p>
        </w:tc>
        <w:tc>
          <w:tcPr>
            <w:tcW w:w="3243" w:type="dxa"/>
            <w:tcBorders>
              <w:bottom w:val="single" w:sz="4" w:space="0" w:color="auto"/>
            </w:tcBorders>
          </w:tcPr>
          <w:p w:rsidR="00824969" w:rsidRPr="007D1C13" w:rsidRDefault="00A05C4B" w:rsidP="00F03EEF">
            <w:pPr>
              <w:jc w:val="both"/>
              <w:rPr>
                <w:sz w:val="20"/>
                <w:szCs w:val="20"/>
              </w:rPr>
            </w:pPr>
            <w:r>
              <w:rPr>
                <w:sz w:val="20"/>
                <w:szCs w:val="20"/>
              </w:rPr>
              <w:t>September 21, 2020</w:t>
            </w:r>
          </w:p>
        </w:tc>
        <w:tc>
          <w:tcPr>
            <w:tcW w:w="2607" w:type="dxa"/>
            <w:tcBorders>
              <w:bottom w:val="single" w:sz="4" w:space="0" w:color="auto"/>
            </w:tcBorders>
            <w:shd w:val="clear" w:color="auto" w:fill="D9D9D9" w:themeFill="background1" w:themeFillShade="D9"/>
          </w:tcPr>
          <w:p w:rsidR="00824969" w:rsidRPr="00343F62" w:rsidRDefault="00E715CA" w:rsidP="00824969">
            <w:pPr>
              <w:rPr>
                <w:b/>
                <w:sz w:val="20"/>
                <w:szCs w:val="20"/>
              </w:rPr>
            </w:pPr>
            <w:r>
              <w:rPr>
                <w:b/>
                <w:sz w:val="20"/>
                <w:szCs w:val="20"/>
              </w:rPr>
              <w:t>Application Deadline</w:t>
            </w:r>
            <w:r w:rsidR="00824969" w:rsidRPr="00343F62">
              <w:rPr>
                <w:b/>
                <w:sz w:val="20"/>
                <w:szCs w:val="20"/>
              </w:rPr>
              <w:t>:</w:t>
            </w:r>
          </w:p>
        </w:tc>
        <w:tc>
          <w:tcPr>
            <w:tcW w:w="2250" w:type="dxa"/>
            <w:tcBorders>
              <w:bottom w:val="single" w:sz="4" w:space="0" w:color="auto"/>
            </w:tcBorders>
          </w:tcPr>
          <w:p w:rsidR="00824969" w:rsidRPr="007D1C13" w:rsidRDefault="00A05C4B" w:rsidP="00824969">
            <w:pPr>
              <w:rPr>
                <w:sz w:val="20"/>
                <w:szCs w:val="20"/>
              </w:rPr>
            </w:pPr>
            <w:r>
              <w:rPr>
                <w:sz w:val="20"/>
                <w:szCs w:val="20"/>
              </w:rPr>
              <w:t>October 15, 2020</w:t>
            </w:r>
          </w:p>
        </w:tc>
      </w:tr>
      <w:tr w:rsidR="002F3D4A" w:rsidTr="00343F62">
        <w:trPr>
          <w:trHeight w:val="71"/>
        </w:trPr>
        <w:tc>
          <w:tcPr>
            <w:tcW w:w="10885" w:type="dxa"/>
            <w:gridSpan w:val="4"/>
            <w:tcBorders>
              <w:top w:val="single" w:sz="4" w:space="0" w:color="auto"/>
              <w:left w:val="nil"/>
              <w:bottom w:val="single" w:sz="4" w:space="0" w:color="auto"/>
              <w:right w:val="nil"/>
            </w:tcBorders>
            <w:shd w:val="clear" w:color="auto" w:fill="auto"/>
          </w:tcPr>
          <w:p w:rsidR="002F3D4A" w:rsidRPr="006D7705" w:rsidRDefault="002F3D4A" w:rsidP="00824969">
            <w:pPr>
              <w:rPr>
                <w:sz w:val="4"/>
              </w:rPr>
            </w:pPr>
          </w:p>
        </w:tc>
      </w:tr>
      <w:tr w:rsidR="00C10574" w:rsidTr="00343F62">
        <w:trPr>
          <w:trHeight w:val="432"/>
        </w:trPr>
        <w:tc>
          <w:tcPr>
            <w:tcW w:w="10885" w:type="dxa"/>
            <w:gridSpan w:val="4"/>
            <w:tcBorders>
              <w:top w:val="single" w:sz="4" w:space="0" w:color="auto"/>
            </w:tcBorders>
            <w:shd w:val="clear" w:color="auto" w:fill="D9D9D9" w:themeFill="background1" w:themeFillShade="D9"/>
          </w:tcPr>
          <w:p w:rsidR="00C10574" w:rsidRPr="002F3D4A" w:rsidRDefault="002F3D4A" w:rsidP="00C10574">
            <w:pPr>
              <w:jc w:val="both"/>
              <w:rPr>
                <w:b/>
                <w:caps/>
              </w:rPr>
            </w:pPr>
            <w:r w:rsidRPr="0027321C">
              <w:rPr>
                <w:b/>
                <w:caps/>
                <w:u w:val="single"/>
              </w:rPr>
              <w:t>Distinguishing Features of the Class</w:t>
            </w:r>
            <w:r w:rsidRPr="002F3D4A">
              <w:rPr>
                <w:b/>
                <w:caps/>
              </w:rPr>
              <w:t xml:space="preserve">: </w:t>
            </w:r>
          </w:p>
        </w:tc>
      </w:tr>
      <w:tr w:rsidR="004F0AEE" w:rsidTr="00343F62">
        <w:trPr>
          <w:trHeight w:val="432"/>
        </w:trPr>
        <w:tc>
          <w:tcPr>
            <w:tcW w:w="10885" w:type="dxa"/>
            <w:gridSpan w:val="4"/>
            <w:shd w:val="clear" w:color="auto" w:fill="FFFFFF" w:themeFill="background1"/>
          </w:tcPr>
          <w:p w:rsidR="00A05C4B" w:rsidRPr="00A05C4B" w:rsidRDefault="00A05C4B" w:rsidP="00A05C4B">
            <w:pPr>
              <w:pStyle w:val="NoSpacing"/>
              <w:rPr>
                <w:color w:val="000000"/>
                <w:spacing w:val="-4"/>
              </w:rPr>
            </w:pPr>
            <w:r w:rsidRPr="00A05C4B">
              <w:rPr>
                <w:color w:val="000000"/>
                <w:spacing w:val="-4"/>
              </w:rPr>
              <w:t>A local public health educator shall mean a person who applies the principles of behavioral sciences in public health programs to foster the voluntary adaptation of behavior to improve or maintain health.  The work involves responsibility for the organization and implementation of educational efforts regarding public health needs of the community.  This position involves responsibility to survey public health education needs and develop, implement and evaluate public health programs to address these needs. Work is performed under the general direction of the Deputy Director of Public Health or Director of Public Health and in accordance with the New York Public Health Law.   Does related work as required.</w:t>
            </w:r>
          </w:p>
          <w:p w:rsidR="007C280F" w:rsidRPr="00FE579C" w:rsidRDefault="007C280F" w:rsidP="00E715CA">
            <w:pPr>
              <w:pStyle w:val="NoSpacing"/>
            </w:pPr>
          </w:p>
        </w:tc>
      </w:tr>
      <w:tr w:rsidR="004F0AEE" w:rsidTr="00343F62">
        <w:trPr>
          <w:trHeight w:val="432"/>
        </w:trPr>
        <w:tc>
          <w:tcPr>
            <w:tcW w:w="10885" w:type="dxa"/>
            <w:gridSpan w:val="4"/>
            <w:shd w:val="clear" w:color="auto" w:fill="D9D9D9" w:themeFill="background1" w:themeFillShade="D9"/>
          </w:tcPr>
          <w:p w:rsidR="004F0AEE" w:rsidRPr="00FE579C" w:rsidRDefault="002F3D4A" w:rsidP="006D7705">
            <w:pPr>
              <w:pStyle w:val="NoSpacing"/>
            </w:pPr>
            <w:r w:rsidRPr="00FE579C">
              <w:rPr>
                <w:b/>
                <w:bCs/>
                <w:u w:val="single"/>
              </w:rPr>
              <w:t>TYPICAL WORK ACTIVITIES:</w:t>
            </w:r>
            <w:r w:rsidRPr="00FE579C">
              <w:rPr>
                <w:b/>
                <w:bCs/>
              </w:rPr>
              <w:t xml:space="preserve"> (Illustrative Only)</w:t>
            </w:r>
          </w:p>
        </w:tc>
      </w:tr>
      <w:tr w:rsidR="002F3D4A" w:rsidTr="00343F62">
        <w:trPr>
          <w:trHeight w:val="432"/>
        </w:trPr>
        <w:tc>
          <w:tcPr>
            <w:tcW w:w="10885" w:type="dxa"/>
            <w:gridSpan w:val="4"/>
            <w:shd w:val="clear" w:color="auto" w:fill="FFFFFF" w:themeFill="background1"/>
          </w:tcPr>
          <w:p w:rsidR="00A05C4B" w:rsidRPr="00A05C4B" w:rsidRDefault="00A05C4B" w:rsidP="00A05C4B">
            <w:pPr>
              <w:pStyle w:val="NoSpacing"/>
            </w:pPr>
            <w:r w:rsidRPr="00A05C4B">
              <w:t>Assesses the health status of those served and their related determinants of health, and uses this knowledge to educate,</w:t>
            </w:r>
          </w:p>
          <w:p w:rsidR="00A05C4B" w:rsidRPr="00A05C4B" w:rsidRDefault="00A05C4B" w:rsidP="00A05C4B">
            <w:pPr>
              <w:pStyle w:val="NoSpacing"/>
            </w:pPr>
            <w:r w:rsidRPr="00A05C4B">
              <w:t>inform and make referrals as appropriate;</w:t>
            </w:r>
          </w:p>
          <w:p w:rsidR="00A05C4B" w:rsidRPr="00A05C4B" w:rsidRDefault="00A05C4B" w:rsidP="00A05C4B">
            <w:pPr>
              <w:pStyle w:val="NoSpacing"/>
            </w:pPr>
            <w:r w:rsidRPr="00A05C4B">
              <w:t>Conveys public health information in writing and orally, in person and through electronic means, with linguistic and</w:t>
            </w:r>
          </w:p>
          <w:p w:rsidR="00A05C4B" w:rsidRPr="00A05C4B" w:rsidRDefault="00A05C4B" w:rsidP="00A05C4B">
            <w:pPr>
              <w:pStyle w:val="NoSpacing"/>
            </w:pPr>
            <w:r w:rsidRPr="00A05C4B">
              <w:t>cultural proficiency in the appropriate format and health literacy level of the population served;</w:t>
            </w:r>
          </w:p>
          <w:p w:rsidR="00A05C4B" w:rsidRPr="00A05C4B" w:rsidRDefault="00A05C4B" w:rsidP="00A05C4B">
            <w:pPr>
              <w:pStyle w:val="NoSpacing"/>
            </w:pPr>
            <w:r w:rsidRPr="00A05C4B">
              <w:t>Develops demographic, statistical, programmatic and scientific presentations, brochures and products;</w:t>
            </w:r>
          </w:p>
          <w:p w:rsidR="00A05C4B" w:rsidRPr="00A05C4B" w:rsidRDefault="00A05C4B" w:rsidP="00A05C4B">
            <w:pPr>
              <w:pStyle w:val="NoSpacing"/>
            </w:pPr>
            <w:r w:rsidRPr="00A05C4B">
              <w:t>May teach classes, address or facilitate groups and participates in community partnerships to promote population health;</w:t>
            </w:r>
          </w:p>
          <w:p w:rsidR="00A05C4B" w:rsidRPr="00A05C4B" w:rsidRDefault="00A05C4B" w:rsidP="00A05C4B">
            <w:pPr>
              <w:pStyle w:val="NoSpacing"/>
            </w:pPr>
            <w:r w:rsidRPr="00A05C4B">
              <w:t>Participates and/or leads program planning, implementation and evaluation;</w:t>
            </w:r>
          </w:p>
          <w:p w:rsidR="00A05C4B" w:rsidRPr="00A05C4B" w:rsidRDefault="00A05C4B" w:rsidP="00A05C4B">
            <w:pPr>
              <w:pStyle w:val="NoSpacing"/>
            </w:pPr>
            <w:r w:rsidRPr="00A05C4B">
              <w:t>Reports program performance and completion of work plan objectives;</w:t>
            </w:r>
          </w:p>
          <w:p w:rsidR="00A05C4B" w:rsidRPr="00A05C4B" w:rsidRDefault="00A05C4B" w:rsidP="00A05C4B">
            <w:pPr>
              <w:pStyle w:val="NoSpacing"/>
            </w:pPr>
            <w:r w:rsidRPr="00A05C4B">
              <w:t>Participates in the conduct of surveys and assessments related to health matters;</w:t>
            </w:r>
          </w:p>
          <w:p w:rsidR="00A05C4B" w:rsidRPr="00A05C4B" w:rsidRDefault="00A05C4B" w:rsidP="00A05C4B">
            <w:pPr>
              <w:pStyle w:val="NoSpacing"/>
            </w:pPr>
            <w:r w:rsidRPr="00A05C4B">
              <w:t>Compiles and uses records, reports and statistical information for planning and evaluation of public health programs;</w:t>
            </w:r>
          </w:p>
          <w:p w:rsidR="00A05C4B" w:rsidRPr="00A05C4B" w:rsidRDefault="00A05C4B" w:rsidP="00A05C4B">
            <w:pPr>
              <w:pStyle w:val="NoSpacing"/>
            </w:pPr>
            <w:r w:rsidRPr="00A05C4B">
              <w:t>Participates in or leads quality improvement projects;</w:t>
            </w:r>
          </w:p>
          <w:p w:rsidR="00A05C4B" w:rsidRPr="00A05C4B" w:rsidRDefault="00A05C4B" w:rsidP="00A05C4B">
            <w:pPr>
              <w:pStyle w:val="NoSpacing"/>
            </w:pPr>
            <w:r w:rsidRPr="00A05C4B">
              <w:t>Completes and maintains program records in compliance with Grant requirements, and NYSDOH regulations;</w:t>
            </w:r>
          </w:p>
          <w:p w:rsidR="00A05C4B" w:rsidRPr="00A05C4B" w:rsidRDefault="00A05C4B" w:rsidP="00A05C4B">
            <w:pPr>
              <w:pStyle w:val="NoSpacing"/>
            </w:pPr>
            <w:r w:rsidRPr="00A05C4B">
              <w:t>Participates in emergency preparedness planning and response efforts;</w:t>
            </w:r>
          </w:p>
          <w:p w:rsidR="00A05C4B" w:rsidRPr="00A05C4B" w:rsidRDefault="00A05C4B" w:rsidP="00A05C4B">
            <w:pPr>
              <w:pStyle w:val="NoSpacing"/>
            </w:pPr>
            <w:r w:rsidRPr="00A05C4B">
              <w:t>Performs other duties as assigned.</w:t>
            </w:r>
          </w:p>
          <w:p w:rsidR="007C280F" w:rsidRPr="00FE579C" w:rsidRDefault="007C280F" w:rsidP="00E715CA">
            <w:pPr>
              <w:pStyle w:val="NoSpacing"/>
            </w:pPr>
          </w:p>
        </w:tc>
      </w:tr>
      <w:tr w:rsidR="002F3D4A" w:rsidTr="00343F62">
        <w:trPr>
          <w:trHeight w:val="432"/>
        </w:trPr>
        <w:tc>
          <w:tcPr>
            <w:tcW w:w="10885" w:type="dxa"/>
            <w:gridSpan w:val="4"/>
            <w:shd w:val="clear" w:color="auto" w:fill="D9D9D9" w:themeFill="background1" w:themeFillShade="D9"/>
          </w:tcPr>
          <w:p w:rsidR="002F3D4A" w:rsidRPr="00FE579C" w:rsidRDefault="002F3D4A" w:rsidP="002F3D4A">
            <w:pPr>
              <w:pStyle w:val="NoSpacing"/>
              <w:tabs>
                <w:tab w:val="left" w:pos="984"/>
              </w:tabs>
              <w:rPr>
                <w:rFonts w:eastAsia="MS Gothic"/>
                <w:b/>
              </w:rPr>
            </w:pPr>
            <w:r w:rsidRPr="00FE579C">
              <w:rPr>
                <w:rFonts w:eastAsia="MS Gothic"/>
                <w:b/>
                <w:u w:val="single"/>
              </w:rPr>
              <w:t>FULL PERFORMANCE KNOWLEDGE, SKILLS, ABILITIES, AND PERSONAL CHARACTERISTICS</w:t>
            </w:r>
            <w:r w:rsidRPr="00FE579C">
              <w:rPr>
                <w:rFonts w:eastAsia="MS Gothic"/>
                <w:b/>
              </w:rPr>
              <w:t>:</w:t>
            </w:r>
          </w:p>
        </w:tc>
      </w:tr>
      <w:tr w:rsidR="002F3D4A" w:rsidTr="00343F62">
        <w:trPr>
          <w:trHeight w:val="432"/>
        </w:trPr>
        <w:tc>
          <w:tcPr>
            <w:tcW w:w="10885" w:type="dxa"/>
            <w:gridSpan w:val="4"/>
            <w:shd w:val="clear" w:color="auto" w:fill="auto"/>
          </w:tcPr>
          <w:p w:rsidR="00A05C4B" w:rsidRPr="00A05C4B" w:rsidRDefault="00A05C4B" w:rsidP="00A05C4B">
            <w:pPr>
              <w:pStyle w:val="NoSpacing"/>
            </w:pPr>
            <w:r w:rsidRPr="00A05C4B">
              <w:t>Working knowledge of the current principles, practices and techniques of public health education (biostatistics,</w:t>
            </w:r>
          </w:p>
          <w:p w:rsidR="00A05C4B" w:rsidRPr="00A05C4B" w:rsidRDefault="00A05C4B" w:rsidP="00A05C4B">
            <w:pPr>
              <w:pStyle w:val="NoSpacing"/>
            </w:pPr>
            <w:r w:rsidRPr="00A05C4B">
              <w:t>epidemiology, environmental, social &amp; behavioral health);</w:t>
            </w:r>
          </w:p>
          <w:p w:rsidR="00A05C4B" w:rsidRPr="00A05C4B" w:rsidRDefault="00A05C4B" w:rsidP="00A05C4B">
            <w:pPr>
              <w:pStyle w:val="NoSpacing"/>
            </w:pPr>
            <w:r w:rsidRPr="00A05C4B">
              <w:lastRenderedPageBreak/>
              <w:t>Working knowledge and ability to perform duties in accordance with nationally adopted Core Competences for Public</w:t>
            </w:r>
          </w:p>
          <w:p w:rsidR="00A05C4B" w:rsidRPr="00A05C4B" w:rsidRDefault="00A05C4B" w:rsidP="00A05C4B">
            <w:pPr>
              <w:pStyle w:val="NoSpacing"/>
            </w:pPr>
            <w:r w:rsidRPr="00A05C4B">
              <w:t>Health Professionals;</w:t>
            </w:r>
          </w:p>
          <w:p w:rsidR="00A05C4B" w:rsidRPr="00A05C4B" w:rsidRDefault="00A05C4B" w:rsidP="00A05C4B">
            <w:pPr>
              <w:pStyle w:val="NoSpacing"/>
            </w:pPr>
            <w:r w:rsidRPr="00A05C4B">
              <w:t>Working knowledge and ability to follow public health laws, regulations and policies;</w:t>
            </w:r>
          </w:p>
          <w:p w:rsidR="00A05C4B" w:rsidRPr="00A05C4B" w:rsidRDefault="00A05C4B" w:rsidP="00A05C4B">
            <w:pPr>
              <w:pStyle w:val="NoSpacing"/>
            </w:pPr>
            <w:r w:rsidRPr="00A05C4B">
              <w:t xml:space="preserve">Good analytic &amp; assessment skills necessary to participate in community health assessments; </w:t>
            </w:r>
          </w:p>
          <w:p w:rsidR="00A05C4B" w:rsidRPr="00A05C4B" w:rsidRDefault="00A05C4B" w:rsidP="00A05C4B">
            <w:pPr>
              <w:pStyle w:val="NoSpacing"/>
            </w:pPr>
            <w:r w:rsidRPr="00A05C4B">
              <w:t>Good program planning and evaluation skills;</w:t>
            </w:r>
          </w:p>
          <w:p w:rsidR="00A05C4B" w:rsidRPr="00A05C4B" w:rsidRDefault="00A05C4B" w:rsidP="00A05C4B">
            <w:pPr>
              <w:pStyle w:val="NoSpacing"/>
            </w:pPr>
            <w:r w:rsidRPr="00A05C4B">
              <w:t>Good cultural and linguistic competency;</w:t>
            </w:r>
          </w:p>
          <w:p w:rsidR="00A05C4B" w:rsidRPr="00A05C4B" w:rsidRDefault="00A05C4B" w:rsidP="00A05C4B">
            <w:pPr>
              <w:pStyle w:val="NoSpacing"/>
            </w:pPr>
            <w:r w:rsidRPr="00A05C4B">
              <w:t>Ability to adhere to ethical principles in the collection, maintenance, use and dissemination of data &amp; information;</w:t>
            </w:r>
          </w:p>
          <w:p w:rsidR="00A05C4B" w:rsidRPr="00A05C4B" w:rsidRDefault="00A05C4B" w:rsidP="00A05C4B">
            <w:pPr>
              <w:pStyle w:val="NoSpacing"/>
            </w:pPr>
            <w:r w:rsidRPr="00A05C4B">
              <w:t>Ability to follow technical oral and written instructions and to make sound professional judgments:</w:t>
            </w:r>
          </w:p>
          <w:p w:rsidR="00A05C4B" w:rsidRPr="00A05C4B" w:rsidRDefault="00A05C4B" w:rsidP="00A05C4B">
            <w:pPr>
              <w:pStyle w:val="NoSpacing"/>
            </w:pPr>
            <w:r w:rsidRPr="00A05C4B">
              <w:t>Ability to effectively communicate in written, oral and electronic form;</w:t>
            </w:r>
          </w:p>
          <w:p w:rsidR="00A05C4B" w:rsidRPr="00A05C4B" w:rsidRDefault="00A05C4B" w:rsidP="00A05C4B">
            <w:pPr>
              <w:pStyle w:val="NoSpacing"/>
            </w:pPr>
            <w:r w:rsidRPr="00A05C4B">
              <w:t>Ability to establish effective working relationships with a wide variety of people;</w:t>
            </w:r>
          </w:p>
          <w:p w:rsidR="00A05C4B" w:rsidRPr="00A05C4B" w:rsidRDefault="00A05C4B" w:rsidP="00A05C4B">
            <w:pPr>
              <w:pStyle w:val="NoSpacing"/>
            </w:pPr>
            <w:r w:rsidRPr="00A05C4B">
              <w:t>Ability to operate a personal computer; utilize the internet, and common office software programs, including Word, Excel,</w:t>
            </w:r>
          </w:p>
          <w:p w:rsidR="00A05C4B" w:rsidRPr="00A05C4B" w:rsidRDefault="00A05C4B" w:rsidP="00A05C4B">
            <w:pPr>
              <w:pStyle w:val="NoSpacing"/>
            </w:pPr>
            <w:r w:rsidRPr="00A05C4B">
              <w:t>and Publisher; and ability to learn proprietary software applications;</w:t>
            </w:r>
          </w:p>
          <w:p w:rsidR="007D1C13" w:rsidRDefault="00A05C4B" w:rsidP="00A05C4B">
            <w:pPr>
              <w:pStyle w:val="NoSpacing"/>
            </w:pPr>
            <w:r w:rsidRPr="00A05C4B">
              <w:t>Ability to perform in a reasonable manner the essential functions of the position.</w:t>
            </w:r>
          </w:p>
          <w:p w:rsidR="00A05C4B" w:rsidRPr="00FE579C" w:rsidRDefault="00A05C4B" w:rsidP="00A05C4B">
            <w:pPr>
              <w:pStyle w:val="NoSpacing"/>
              <w:rPr>
                <w:rFonts w:eastAsia="MS Gothic"/>
                <w:b/>
              </w:rPr>
            </w:pPr>
          </w:p>
        </w:tc>
      </w:tr>
      <w:tr w:rsidR="002F3D4A" w:rsidTr="00343F62">
        <w:trPr>
          <w:trHeight w:val="432"/>
        </w:trPr>
        <w:tc>
          <w:tcPr>
            <w:tcW w:w="10885" w:type="dxa"/>
            <w:gridSpan w:val="4"/>
            <w:shd w:val="clear" w:color="auto" w:fill="D9D9D9" w:themeFill="background1" w:themeFillShade="D9"/>
          </w:tcPr>
          <w:p w:rsidR="002F3D4A" w:rsidRPr="00FE579C" w:rsidRDefault="002F3D4A" w:rsidP="002F3D4A">
            <w:pPr>
              <w:pStyle w:val="NoSpacing"/>
              <w:tabs>
                <w:tab w:val="left" w:pos="984"/>
              </w:tabs>
              <w:rPr>
                <w:rFonts w:eastAsia="MS Gothic"/>
                <w:b/>
              </w:rPr>
            </w:pPr>
            <w:r w:rsidRPr="00FE579C">
              <w:rPr>
                <w:rFonts w:eastAsia="MS Gothic"/>
                <w:b/>
                <w:u w:val="single"/>
              </w:rPr>
              <w:lastRenderedPageBreak/>
              <w:t>MINIMUM QUALIFICATIONS</w:t>
            </w:r>
            <w:r w:rsidRPr="00FE579C">
              <w:rPr>
                <w:rFonts w:eastAsia="MS Gothic"/>
                <w:b/>
              </w:rPr>
              <w:t>:</w:t>
            </w:r>
          </w:p>
        </w:tc>
      </w:tr>
      <w:tr w:rsidR="002F3D4A" w:rsidTr="00343F62">
        <w:trPr>
          <w:trHeight w:val="432"/>
        </w:trPr>
        <w:tc>
          <w:tcPr>
            <w:tcW w:w="10885" w:type="dxa"/>
            <w:gridSpan w:val="4"/>
            <w:shd w:val="clear" w:color="auto" w:fill="FFFFFF" w:themeFill="background1"/>
          </w:tcPr>
          <w:p w:rsidR="00A05C4B" w:rsidRDefault="00A05C4B" w:rsidP="00A05C4B">
            <w:pPr>
              <w:pStyle w:val="NoSpacing"/>
              <w:numPr>
                <w:ilvl w:val="0"/>
                <w:numId w:val="14"/>
              </w:numPr>
            </w:pPr>
            <w:r>
              <w:t>A baccalaureate degree in health education, health science, public health, health promotion, community health, or health communications from a regionally accredited or New York State-registered college or university; OR</w:t>
            </w:r>
          </w:p>
          <w:p w:rsidR="00A05C4B" w:rsidRDefault="00A05C4B" w:rsidP="00A05C4B">
            <w:pPr>
              <w:pStyle w:val="NoSpacing"/>
              <w:numPr>
                <w:ilvl w:val="0"/>
                <w:numId w:val="14"/>
              </w:numPr>
            </w:pPr>
            <w:r>
              <w:t>A baccalaureate degree in education, nursing, epidemiology, wellness and fitness, or nutrition from a regionally accredited or New York State-registered college or university; AND one (1) year experience in health education; OR</w:t>
            </w:r>
          </w:p>
          <w:p w:rsidR="00A05C4B" w:rsidRDefault="00A05C4B" w:rsidP="00A05C4B">
            <w:pPr>
              <w:pStyle w:val="NoSpacing"/>
              <w:numPr>
                <w:ilvl w:val="0"/>
                <w:numId w:val="14"/>
              </w:numPr>
            </w:pPr>
            <w:r>
              <w:t>A baccalaureate degree in marketing, human services, social work or psychology from a regionally accredited or New York State-registered college or university; AND two (2) years’ experience in health education; OR</w:t>
            </w:r>
          </w:p>
          <w:p w:rsidR="00A05C4B" w:rsidRDefault="00A05C4B" w:rsidP="00A05C4B">
            <w:pPr>
              <w:pStyle w:val="NoSpacing"/>
              <w:numPr>
                <w:ilvl w:val="0"/>
                <w:numId w:val="14"/>
              </w:numPr>
            </w:pPr>
            <w:r>
              <w:t xml:space="preserve">A master’s degree in public health or health education from a regionally accredited or New York State-registered college or university.  </w:t>
            </w:r>
          </w:p>
          <w:p w:rsidR="007C280F" w:rsidRPr="00AA01BB" w:rsidRDefault="007C280F" w:rsidP="00A05C4B">
            <w:pPr>
              <w:pStyle w:val="NoSpacing"/>
              <w:ind w:left="720"/>
            </w:pPr>
          </w:p>
        </w:tc>
      </w:tr>
      <w:tr w:rsidR="002F3D4A" w:rsidTr="00343F62">
        <w:trPr>
          <w:trHeight w:val="432"/>
        </w:trPr>
        <w:tc>
          <w:tcPr>
            <w:tcW w:w="10885" w:type="dxa"/>
            <w:gridSpan w:val="4"/>
            <w:shd w:val="clear" w:color="auto" w:fill="D9D9D9" w:themeFill="background1" w:themeFillShade="D9"/>
          </w:tcPr>
          <w:p w:rsidR="002F3D4A" w:rsidRPr="00FE579C" w:rsidRDefault="002F3D4A" w:rsidP="006D7705">
            <w:pPr>
              <w:pStyle w:val="NoSpacing"/>
              <w:tabs>
                <w:tab w:val="left" w:pos="984"/>
              </w:tabs>
              <w:rPr>
                <w:rFonts w:eastAsia="MS Gothic"/>
                <w:b/>
                <w:u w:val="single"/>
              </w:rPr>
            </w:pPr>
            <w:r w:rsidRPr="00FE579C">
              <w:rPr>
                <w:rFonts w:eastAsia="MS Gothic"/>
                <w:b/>
                <w:bCs/>
                <w:u w:val="single"/>
              </w:rPr>
              <w:t>SPECIAL REQUIREMENT FOR APPOINTMENT AND CONTINUED EMPLOYMENT:</w:t>
            </w:r>
          </w:p>
        </w:tc>
      </w:tr>
      <w:tr w:rsidR="002F3D4A" w:rsidTr="00343F62">
        <w:trPr>
          <w:trHeight w:val="432"/>
        </w:trPr>
        <w:tc>
          <w:tcPr>
            <w:tcW w:w="10885" w:type="dxa"/>
            <w:gridSpan w:val="4"/>
            <w:shd w:val="clear" w:color="auto" w:fill="FFFFFF" w:themeFill="background1"/>
          </w:tcPr>
          <w:p w:rsidR="00A05C4B" w:rsidRPr="00A05C4B" w:rsidRDefault="00A05C4B" w:rsidP="00A05C4B">
            <w:pPr>
              <w:pStyle w:val="NoSpacing"/>
              <w:numPr>
                <w:ilvl w:val="0"/>
                <w:numId w:val="15"/>
              </w:numPr>
            </w:pPr>
            <w:r w:rsidRPr="00A05C4B">
              <w:t>Possession of a valid New York State Driver’s license is required at the time of appointment, and such license must be maintained in good standing throughout the tenure of employment in the position;</w:t>
            </w:r>
          </w:p>
          <w:p w:rsidR="00A05C4B" w:rsidRPr="00A05C4B" w:rsidRDefault="00A05C4B" w:rsidP="00A05C4B">
            <w:pPr>
              <w:pStyle w:val="NoSpacing"/>
              <w:numPr>
                <w:ilvl w:val="0"/>
                <w:numId w:val="15"/>
              </w:numPr>
            </w:pPr>
            <w:r w:rsidRPr="00A05C4B">
              <w:t>Must be able to be fitted for, and wear a NIOSH 95 mask.</w:t>
            </w:r>
          </w:p>
          <w:p w:rsidR="007C280F" w:rsidRPr="00FE579C" w:rsidRDefault="007C280F" w:rsidP="00351B2C">
            <w:pPr>
              <w:pStyle w:val="NoSpacing"/>
              <w:tabs>
                <w:tab w:val="left" w:pos="984"/>
              </w:tabs>
              <w:ind w:left="792"/>
              <w:rPr>
                <w:rFonts w:eastAsia="MS Gothic"/>
                <w:b/>
                <w:bCs/>
              </w:rPr>
            </w:pPr>
          </w:p>
        </w:tc>
      </w:tr>
      <w:tr w:rsidR="00FE579C" w:rsidTr="00FE579C">
        <w:trPr>
          <w:trHeight w:val="432"/>
        </w:trPr>
        <w:tc>
          <w:tcPr>
            <w:tcW w:w="10885" w:type="dxa"/>
            <w:gridSpan w:val="4"/>
            <w:shd w:val="clear" w:color="auto" w:fill="D9D9D9" w:themeFill="background1" w:themeFillShade="D9"/>
          </w:tcPr>
          <w:p w:rsidR="00FE579C" w:rsidRPr="00FE579C" w:rsidRDefault="00FE579C" w:rsidP="00814F38">
            <w:pPr>
              <w:pStyle w:val="NoSpacing"/>
              <w:rPr>
                <w:b/>
                <w:u w:val="single"/>
              </w:rPr>
            </w:pPr>
            <w:r w:rsidRPr="00FE579C">
              <w:rPr>
                <w:b/>
                <w:u w:val="single"/>
              </w:rPr>
              <w:t>PRE-EMPLOYMENT REQUIREMENTS:</w:t>
            </w:r>
          </w:p>
        </w:tc>
      </w:tr>
      <w:tr w:rsidR="00FE579C" w:rsidTr="00343F62">
        <w:trPr>
          <w:trHeight w:val="432"/>
        </w:trPr>
        <w:tc>
          <w:tcPr>
            <w:tcW w:w="10885" w:type="dxa"/>
            <w:gridSpan w:val="4"/>
            <w:shd w:val="clear" w:color="auto" w:fill="FFFFFF" w:themeFill="background1"/>
          </w:tcPr>
          <w:p w:rsidR="00CC3E46" w:rsidRDefault="00CC3E46" w:rsidP="00814F38">
            <w:pPr>
              <w:pStyle w:val="NoSpacing"/>
            </w:pPr>
          </w:p>
          <w:p w:rsidR="00FE579C" w:rsidRPr="00FE579C" w:rsidRDefault="00FE579C" w:rsidP="00814F38">
            <w:pPr>
              <w:pStyle w:val="NoSpacing"/>
            </w:pPr>
            <w:r w:rsidRPr="00FE579C">
              <w:t>All Yates County employees will be subjected to a background check, Workers Compensation medical physical, E-Verify Employment Verification, possible drug testing and, depending on the position, fingerprinting.</w:t>
            </w:r>
          </w:p>
          <w:p w:rsidR="00FE579C" w:rsidRPr="00FE579C" w:rsidRDefault="00FE579C" w:rsidP="00814F38">
            <w:pPr>
              <w:pStyle w:val="NoSpacing"/>
            </w:pPr>
          </w:p>
          <w:p w:rsidR="00FE579C" w:rsidRDefault="00FE579C" w:rsidP="00814F38">
            <w:pPr>
              <w:pStyle w:val="NoSpacing"/>
            </w:pPr>
            <w:r w:rsidRPr="00FE579C">
              <w:t>Yates County is an equal opportunity employer, and as such offers equal opportunities for all qualified applicants with no discrimination as to age, race, color, creed, sex, national origin, sexual orientation, military status, predisposing genetic characteristics, marital status, domestic violence victim status or disabilities, and in certain circumstances pursuant to Executive Law 296, conviction record. Any person with a disability requesting reasonable accommodations in order to participate in examinations will be accommodated.</w:t>
            </w:r>
          </w:p>
          <w:p w:rsidR="00CC3E46" w:rsidRPr="00FE579C" w:rsidRDefault="00CC3E46" w:rsidP="00814F38">
            <w:pPr>
              <w:pStyle w:val="NoSpacing"/>
            </w:pPr>
          </w:p>
        </w:tc>
      </w:tr>
    </w:tbl>
    <w:p w:rsidR="003E1132" w:rsidRDefault="003E1132" w:rsidP="006D7705"/>
    <w:sectPr w:rsidR="003E1132" w:rsidSect="006D7705">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05BC"/>
    <w:multiLevelType w:val="singleLevel"/>
    <w:tmpl w:val="FBC8ACF2"/>
    <w:lvl w:ilvl="0">
      <w:start w:val="1"/>
      <w:numFmt w:val="decimal"/>
      <w:lvlText w:val="%1."/>
      <w:lvlJc w:val="left"/>
      <w:pPr>
        <w:tabs>
          <w:tab w:val="num" w:pos="792"/>
        </w:tabs>
        <w:ind w:left="792" w:hanging="360"/>
      </w:pPr>
      <w:rPr>
        <w:snapToGrid/>
        <w:spacing w:val="-1"/>
        <w:sz w:val="20"/>
        <w:szCs w:val="24"/>
      </w:rPr>
    </w:lvl>
  </w:abstractNum>
  <w:abstractNum w:abstractNumId="1" w15:restartNumberingAfterBreak="0">
    <w:nsid w:val="036E492E"/>
    <w:multiLevelType w:val="hybridMultilevel"/>
    <w:tmpl w:val="977C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13B07"/>
    <w:multiLevelType w:val="singleLevel"/>
    <w:tmpl w:val="B920AB02"/>
    <w:lvl w:ilvl="0">
      <w:start w:val="1"/>
      <w:numFmt w:val="decimal"/>
      <w:lvlText w:val="%1."/>
      <w:lvlJc w:val="left"/>
      <w:pPr>
        <w:tabs>
          <w:tab w:val="num" w:pos="792"/>
        </w:tabs>
        <w:ind w:left="792" w:hanging="360"/>
      </w:pPr>
      <w:rPr>
        <w:snapToGrid/>
        <w:sz w:val="20"/>
        <w:szCs w:val="24"/>
      </w:rPr>
    </w:lvl>
  </w:abstractNum>
  <w:abstractNum w:abstractNumId="3" w15:restartNumberingAfterBreak="0">
    <w:nsid w:val="0D5E086C"/>
    <w:multiLevelType w:val="hybridMultilevel"/>
    <w:tmpl w:val="A8F66B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B358C"/>
    <w:multiLevelType w:val="hybridMultilevel"/>
    <w:tmpl w:val="7D4E8CD8"/>
    <w:lvl w:ilvl="0" w:tplc="92205B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4B4076"/>
    <w:multiLevelType w:val="hybridMultilevel"/>
    <w:tmpl w:val="F75626C0"/>
    <w:lvl w:ilvl="0" w:tplc="92205B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4D47D1"/>
    <w:multiLevelType w:val="hybridMultilevel"/>
    <w:tmpl w:val="FECC7EDE"/>
    <w:lvl w:ilvl="0" w:tplc="825A4F5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026B4"/>
    <w:multiLevelType w:val="hybridMultilevel"/>
    <w:tmpl w:val="AD447DB2"/>
    <w:lvl w:ilvl="0" w:tplc="FF02AFF4">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559F8"/>
    <w:multiLevelType w:val="hybridMultilevel"/>
    <w:tmpl w:val="7A9646B2"/>
    <w:lvl w:ilvl="0" w:tplc="B920AB02">
      <w:start w:val="1"/>
      <w:numFmt w:val="decimal"/>
      <w:lvlText w:val="%1."/>
      <w:lvlJc w:val="left"/>
      <w:pPr>
        <w:tabs>
          <w:tab w:val="num" w:pos="864"/>
        </w:tabs>
        <w:ind w:left="864" w:hanging="360"/>
      </w:pPr>
      <w:rPr>
        <w:snapToGrid/>
        <w:sz w:val="20"/>
        <w:szCs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2C0B645B"/>
    <w:multiLevelType w:val="hybridMultilevel"/>
    <w:tmpl w:val="7E90E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430FB"/>
    <w:multiLevelType w:val="singleLevel"/>
    <w:tmpl w:val="B920AB02"/>
    <w:lvl w:ilvl="0">
      <w:start w:val="1"/>
      <w:numFmt w:val="decimal"/>
      <w:lvlText w:val="%1."/>
      <w:lvlJc w:val="left"/>
      <w:pPr>
        <w:tabs>
          <w:tab w:val="num" w:pos="792"/>
        </w:tabs>
        <w:ind w:left="792" w:hanging="360"/>
      </w:pPr>
      <w:rPr>
        <w:snapToGrid/>
        <w:sz w:val="20"/>
        <w:szCs w:val="24"/>
      </w:rPr>
    </w:lvl>
  </w:abstractNum>
  <w:abstractNum w:abstractNumId="11" w15:restartNumberingAfterBreak="0">
    <w:nsid w:val="51305600"/>
    <w:multiLevelType w:val="hybridMultilevel"/>
    <w:tmpl w:val="229AC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C09BD"/>
    <w:multiLevelType w:val="hybridMultilevel"/>
    <w:tmpl w:val="2BB8804C"/>
    <w:lvl w:ilvl="0" w:tplc="D9CC1716">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E56967"/>
    <w:multiLevelType w:val="hybridMultilevel"/>
    <w:tmpl w:val="B9EE5B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5"/>
  </w:num>
  <w:num w:numId="5">
    <w:abstractNumId w:val="12"/>
  </w:num>
  <w:num w:numId="6">
    <w:abstractNumId w:val="7"/>
  </w:num>
  <w:num w:numId="7">
    <w:abstractNumId w:val="9"/>
  </w:num>
  <w:num w:numId="8">
    <w:abstractNumId w:val="0"/>
  </w:num>
  <w:num w:numId="9">
    <w:abstractNumId w:val="0"/>
    <w:lvlOverride w:ilvl="0">
      <w:lvl w:ilvl="0">
        <w:numFmt w:val="decimal"/>
        <w:lvlText w:val="%1."/>
        <w:lvlJc w:val="left"/>
        <w:pPr>
          <w:tabs>
            <w:tab w:val="num" w:pos="792"/>
          </w:tabs>
          <w:ind w:left="792" w:hanging="360"/>
        </w:pPr>
        <w:rPr>
          <w:snapToGrid/>
          <w:spacing w:val="-6"/>
          <w:sz w:val="20"/>
          <w:szCs w:val="24"/>
        </w:rPr>
      </w:lvl>
    </w:lvlOverride>
  </w:num>
  <w:num w:numId="10">
    <w:abstractNumId w:val="2"/>
  </w:num>
  <w:num w:numId="11">
    <w:abstractNumId w:val="10"/>
  </w:num>
  <w:num w:numId="12">
    <w:abstractNumId w:val="6"/>
  </w:num>
  <w:num w:numId="13">
    <w:abstractNumId w:val="8"/>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32"/>
    <w:rsid w:val="0008546F"/>
    <w:rsid w:val="0009433A"/>
    <w:rsid w:val="000B4FC0"/>
    <w:rsid w:val="000C461B"/>
    <w:rsid w:val="00122B7F"/>
    <w:rsid w:val="00195B42"/>
    <w:rsid w:val="001E6395"/>
    <w:rsid w:val="0023367A"/>
    <w:rsid w:val="0027321C"/>
    <w:rsid w:val="002F3D4A"/>
    <w:rsid w:val="00304F03"/>
    <w:rsid w:val="00343F62"/>
    <w:rsid w:val="00351B2C"/>
    <w:rsid w:val="00360345"/>
    <w:rsid w:val="003672FE"/>
    <w:rsid w:val="00372A77"/>
    <w:rsid w:val="003E1132"/>
    <w:rsid w:val="004B3FBD"/>
    <w:rsid w:val="004F0AEE"/>
    <w:rsid w:val="00641E67"/>
    <w:rsid w:val="006A2A55"/>
    <w:rsid w:val="006C6F6D"/>
    <w:rsid w:val="006D7705"/>
    <w:rsid w:val="007C280F"/>
    <w:rsid w:val="007D1C13"/>
    <w:rsid w:val="00814F38"/>
    <w:rsid w:val="00824969"/>
    <w:rsid w:val="0087360F"/>
    <w:rsid w:val="0088457C"/>
    <w:rsid w:val="00885D9D"/>
    <w:rsid w:val="009053F8"/>
    <w:rsid w:val="009637EB"/>
    <w:rsid w:val="00A05C4B"/>
    <w:rsid w:val="00A328F5"/>
    <w:rsid w:val="00AA01BB"/>
    <w:rsid w:val="00C10574"/>
    <w:rsid w:val="00C34D82"/>
    <w:rsid w:val="00CA3D12"/>
    <w:rsid w:val="00CC3E46"/>
    <w:rsid w:val="00E715CA"/>
    <w:rsid w:val="00F03EEF"/>
    <w:rsid w:val="00FE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070C"/>
  <w15:chartTrackingRefBased/>
  <w15:docId w15:val="{7AFEF320-AFF3-4E01-B396-F0E1DE86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132"/>
    <w:pPr>
      <w:spacing w:after="0" w:line="240" w:lineRule="auto"/>
    </w:pPr>
  </w:style>
  <w:style w:type="table" w:styleId="TableGrid">
    <w:name w:val="Table Grid"/>
    <w:basedOn w:val="TableNormal"/>
    <w:uiPriority w:val="39"/>
    <w:rsid w:val="00C10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574"/>
    <w:pPr>
      <w:ind w:left="720"/>
      <w:contextualSpacing/>
    </w:pPr>
  </w:style>
  <w:style w:type="character" w:customStyle="1" w:styleId="a1">
    <w:name w:val="a1"/>
    <w:aliases w:val="2,3"/>
    <w:rsid w:val="00814F38"/>
  </w:style>
  <w:style w:type="paragraph" w:styleId="BalloonText">
    <w:name w:val="Balloon Text"/>
    <w:basedOn w:val="Normal"/>
    <w:link w:val="BalloonTextChar"/>
    <w:uiPriority w:val="99"/>
    <w:semiHidden/>
    <w:unhideWhenUsed/>
    <w:rsid w:val="00873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60F"/>
    <w:rPr>
      <w:rFonts w:ascii="Segoe UI" w:hAnsi="Segoe UI" w:cs="Segoe UI"/>
      <w:sz w:val="18"/>
      <w:szCs w:val="18"/>
    </w:rPr>
  </w:style>
  <w:style w:type="character" w:styleId="Hyperlink">
    <w:name w:val="Hyperlink"/>
    <w:basedOn w:val="DefaultParagraphFont"/>
    <w:uiPriority w:val="99"/>
    <w:unhideWhenUsed/>
    <w:rsid w:val="00A05C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ycivilservice.yatescoun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B1A08-6A1F-4033-A62C-6CEBC8B4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Brennan</dc:creator>
  <cp:keywords/>
  <dc:description/>
  <cp:lastModifiedBy>Kerry Brennan</cp:lastModifiedBy>
  <cp:revision>4</cp:revision>
  <cp:lastPrinted>2019-02-13T19:31:00Z</cp:lastPrinted>
  <dcterms:created xsi:type="dcterms:W3CDTF">2020-09-16T20:10:00Z</dcterms:created>
  <dcterms:modified xsi:type="dcterms:W3CDTF">2020-09-21T20:32:00Z</dcterms:modified>
</cp:coreProperties>
</file>